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204"/>
      </w:tblGrid>
      <w:tr w:rsidR="00023CC7" w:rsidRPr="00F41C9E" w14:paraId="48BA336E" w14:textId="77777777" w:rsidTr="00B5226F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7E4533F5" w14:textId="77777777" w:rsidR="00023CC7" w:rsidRPr="003B4613" w:rsidRDefault="00023CC7" w:rsidP="00B5226F">
            <w:pPr>
              <w:jc w:val="center"/>
              <w:rPr>
                <w:szCs w:val="24"/>
              </w:rPr>
            </w:pPr>
            <w:bookmarkStart w:id="0" w:name="DDE_LINK1"/>
            <w:bookmarkStart w:id="1" w:name="DDE_LINK2"/>
            <w:r w:rsidRPr="003B4613">
              <w:rPr>
                <w:noProof/>
                <w:szCs w:val="24"/>
                <w:lang w:val="it-IT" w:eastAsia="it-IT"/>
              </w:rPr>
              <w:drawing>
                <wp:inline distT="0" distB="0" distL="0" distR="0" wp14:anchorId="7AE6BD32" wp14:editId="00F52DD0">
                  <wp:extent cx="1181100" cy="10763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3FE72AF3" w14:textId="77777777" w:rsidR="00023CC7" w:rsidRPr="003B4613" w:rsidRDefault="00023CC7" w:rsidP="00B5226F">
            <w:pPr>
              <w:jc w:val="center"/>
              <w:rPr>
                <w:b/>
                <w:bCs/>
                <w:szCs w:val="24"/>
              </w:rPr>
            </w:pPr>
          </w:p>
          <w:p w14:paraId="22678A51" w14:textId="77777777" w:rsidR="00023CC7" w:rsidRPr="00EA1036" w:rsidRDefault="00023CC7" w:rsidP="00B5226F">
            <w:pPr>
              <w:jc w:val="center"/>
              <w:rPr>
                <w:b/>
                <w:bCs/>
                <w:szCs w:val="24"/>
                <w:lang w:val="it-IT"/>
              </w:rPr>
            </w:pPr>
            <w:r w:rsidRPr="00EA1036">
              <w:rPr>
                <w:b/>
                <w:bCs/>
                <w:szCs w:val="24"/>
                <w:lang w:val="it-IT"/>
              </w:rPr>
              <w:t>DIPARTIMENTO DI SCIENZE AZIENDALI</w:t>
            </w:r>
          </w:p>
          <w:p w14:paraId="7931F753" w14:textId="77777777" w:rsidR="00023CC7" w:rsidRPr="00EA1036" w:rsidRDefault="00023CC7" w:rsidP="00B5226F">
            <w:pPr>
              <w:jc w:val="center"/>
              <w:rPr>
                <w:b/>
                <w:bCs/>
                <w:szCs w:val="24"/>
                <w:lang w:val="it-IT"/>
              </w:rPr>
            </w:pPr>
          </w:p>
          <w:p w14:paraId="0CEA2A4F" w14:textId="77777777" w:rsidR="00023CC7" w:rsidRPr="00EA1036" w:rsidRDefault="00023CC7" w:rsidP="00B5226F">
            <w:pPr>
              <w:jc w:val="center"/>
              <w:rPr>
                <w:szCs w:val="24"/>
                <w:lang w:val="it-IT"/>
              </w:rPr>
            </w:pPr>
            <w:r w:rsidRPr="00EA1036">
              <w:rPr>
                <w:szCs w:val="24"/>
                <w:lang w:val="it-IT"/>
              </w:rPr>
              <w:t>UNIVERSITÀ DEGLI STUDI DI BOLOGNA</w:t>
            </w:r>
          </w:p>
          <w:p w14:paraId="0E65D59F" w14:textId="77777777" w:rsidR="00023CC7" w:rsidRPr="00EA1036" w:rsidRDefault="00023CC7" w:rsidP="00B5226F">
            <w:pPr>
              <w:jc w:val="center"/>
              <w:rPr>
                <w:szCs w:val="24"/>
                <w:lang w:val="it-IT"/>
              </w:rPr>
            </w:pPr>
          </w:p>
          <w:p w14:paraId="73C0DBB9" w14:textId="77777777" w:rsidR="00023CC7" w:rsidRPr="00EA1036" w:rsidRDefault="00023CC7" w:rsidP="00B5226F">
            <w:pPr>
              <w:jc w:val="center"/>
              <w:rPr>
                <w:szCs w:val="24"/>
                <w:lang w:val="it-IT"/>
              </w:rPr>
            </w:pPr>
          </w:p>
        </w:tc>
      </w:tr>
      <w:bookmarkEnd w:id="0"/>
      <w:bookmarkEnd w:id="1"/>
    </w:tbl>
    <w:p w14:paraId="2A53DA1B" w14:textId="77777777" w:rsidR="00023CC7" w:rsidRPr="008F269E" w:rsidRDefault="00023CC7" w:rsidP="00F929DD">
      <w:pPr>
        <w:pStyle w:val="Corpotesto"/>
        <w:rPr>
          <w:szCs w:val="24"/>
          <w:lang w:val="en-GB"/>
        </w:rPr>
      </w:pPr>
    </w:p>
    <w:p w14:paraId="6DE2FACC" w14:textId="77777777" w:rsidR="00023CC7" w:rsidRDefault="00E73185" w:rsidP="00E73185">
      <w:pPr>
        <w:tabs>
          <w:tab w:val="left" w:pos="6096"/>
        </w:tabs>
        <w:jc w:val="center"/>
        <w:rPr>
          <w:rFonts w:ascii="TimesNewRomanPS-BoldMT" w:hAnsi="TimesNewRomanPS-BoldMT" w:cs="TimesNewRomanPS-BoldMT"/>
          <w:b/>
          <w:bCs/>
          <w:szCs w:val="20"/>
          <w:lang w:val="it-IT"/>
        </w:rPr>
      </w:pPr>
      <w:r w:rsidRPr="00E73185">
        <w:rPr>
          <w:rFonts w:ascii="TimesNewRomanPS-BoldMT" w:hAnsi="TimesNewRomanPS-BoldMT" w:cs="TimesNewRomanPS-BoldMT"/>
          <w:b/>
          <w:bCs/>
          <w:szCs w:val="20"/>
          <w:lang w:val="it-IT"/>
        </w:rPr>
        <w:t>Analyzing Political Intervention and Impact on the plural values of culture</w:t>
      </w:r>
    </w:p>
    <w:p w14:paraId="37BC5EC5" w14:textId="77777777" w:rsidR="00E73185" w:rsidRPr="00E73185" w:rsidRDefault="00E73185" w:rsidP="00E73185">
      <w:pPr>
        <w:tabs>
          <w:tab w:val="left" w:pos="6096"/>
        </w:tabs>
        <w:jc w:val="center"/>
        <w:rPr>
          <w:sz w:val="32"/>
        </w:rPr>
      </w:pPr>
    </w:p>
    <w:p w14:paraId="508C6C61" w14:textId="77777777" w:rsidR="00C919B2" w:rsidRPr="00C919B2" w:rsidRDefault="00224A6E" w:rsidP="0087619D">
      <w:pPr>
        <w:pStyle w:val="Paragrafoelenco"/>
        <w:numPr>
          <w:ilvl w:val="0"/>
          <w:numId w:val="1"/>
        </w:numPr>
        <w:tabs>
          <w:tab w:val="left" w:pos="6096"/>
        </w:tabs>
        <w:jc w:val="both"/>
        <w:rPr>
          <w:b/>
        </w:rPr>
      </w:pPr>
      <w:r>
        <w:rPr>
          <w:b/>
        </w:rPr>
        <w:t>Research project</w:t>
      </w:r>
    </w:p>
    <w:p w14:paraId="3626A3A6" w14:textId="77777777" w:rsidR="00F74489" w:rsidRDefault="00F74489" w:rsidP="0087619D">
      <w:pPr>
        <w:tabs>
          <w:tab w:val="left" w:pos="6096"/>
        </w:tabs>
        <w:jc w:val="both"/>
      </w:pPr>
    </w:p>
    <w:p w14:paraId="0360EC0D" w14:textId="53533B75" w:rsidR="00D12AEA" w:rsidRPr="00232142" w:rsidRDefault="00981384" w:rsidP="0087619D">
      <w:pPr>
        <w:tabs>
          <w:tab w:val="left" w:pos="6096"/>
        </w:tabs>
        <w:jc w:val="both"/>
        <w:rPr>
          <w:rFonts w:eastAsia="Times New Roman" w:cs="Times New Roman"/>
          <w:szCs w:val="24"/>
          <w:lang w:val="it-IT" w:eastAsia="it-IT"/>
        </w:rPr>
      </w:pPr>
      <w:r w:rsidRPr="00232142">
        <w:rPr>
          <w:bCs/>
          <w:color w:val="000000"/>
          <w:szCs w:val="24"/>
        </w:rPr>
        <w:t xml:space="preserve">The research is part of the H2020 project </w:t>
      </w:r>
      <w:r w:rsidR="00AA61E6" w:rsidRPr="00232142">
        <w:rPr>
          <w:bCs/>
          <w:color w:val="000000"/>
          <w:szCs w:val="24"/>
        </w:rPr>
        <w:t>UNCHARTED</w:t>
      </w:r>
      <w:r w:rsidR="00E73185" w:rsidRPr="00232142">
        <w:rPr>
          <w:bCs/>
          <w:color w:val="000000"/>
          <w:szCs w:val="24"/>
        </w:rPr>
        <w:t xml:space="preserve">, which aims </w:t>
      </w:r>
      <w:r w:rsidR="00CF7AF7" w:rsidRPr="00232142">
        <w:rPr>
          <w:bCs/>
          <w:color w:val="000000"/>
          <w:szCs w:val="24"/>
        </w:rPr>
        <w:t>to understand the plurality of values in the cultural sphere and find</w:t>
      </w:r>
      <w:r w:rsidR="00B25878" w:rsidRPr="00232142">
        <w:rPr>
          <w:bCs/>
          <w:color w:val="000000"/>
          <w:szCs w:val="24"/>
        </w:rPr>
        <w:t xml:space="preserve"> ways to manage tensions between conflicting values</w:t>
      </w:r>
      <w:r w:rsidR="00E73185" w:rsidRPr="00232142">
        <w:rPr>
          <w:bCs/>
          <w:color w:val="000000"/>
          <w:szCs w:val="24"/>
        </w:rPr>
        <w:t>. UNCHARTED</w:t>
      </w:r>
      <w:r w:rsidR="00AA61E6" w:rsidRPr="00232142">
        <w:rPr>
          <w:bCs/>
          <w:color w:val="000000"/>
          <w:szCs w:val="24"/>
        </w:rPr>
        <w:t xml:space="preserve"> is informed by a pragmatist approach to value, elaborated f</w:t>
      </w:r>
      <w:r w:rsidR="00CF7AF7" w:rsidRPr="00232142">
        <w:rPr>
          <w:bCs/>
          <w:color w:val="000000"/>
          <w:szCs w:val="24"/>
        </w:rPr>
        <w:t>ro</w:t>
      </w:r>
      <w:r w:rsidR="00AA61E6" w:rsidRPr="00232142">
        <w:rPr>
          <w:bCs/>
          <w:color w:val="000000"/>
          <w:szCs w:val="24"/>
        </w:rPr>
        <w:t>m the analysis of the valuation practices of social actors</w:t>
      </w:r>
      <w:r w:rsidR="00D12AEA" w:rsidRPr="00232142">
        <w:rPr>
          <w:bCs/>
          <w:color w:val="000000"/>
          <w:szCs w:val="24"/>
        </w:rPr>
        <w:t>. The approach</w:t>
      </w:r>
      <w:r w:rsidR="00AA61E6" w:rsidRPr="00232142">
        <w:rPr>
          <w:bCs/>
          <w:color w:val="000000"/>
          <w:szCs w:val="24"/>
        </w:rPr>
        <w:t xml:space="preserve"> </w:t>
      </w:r>
      <w:r w:rsidR="00D12AEA" w:rsidRPr="00232142">
        <w:rPr>
          <w:bCs/>
          <w:color w:val="000000"/>
          <w:szCs w:val="24"/>
        </w:rPr>
        <w:t>has</w:t>
      </w:r>
      <w:r w:rsidR="00AA61E6" w:rsidRPr="00232142">
        <w:rPr>
          <w:bCs/>
          <w:color w:val="000000"/>
          <w:szCs w:val="24"/>
        </w:rPr>
        <w:t xml:space="preserve"> been developed by economic sociology</w:t>
      </w:r>
      <w:r w:rsidR="00232142" w:rsidRPr="00232142">
        <w:rPr>
          <w:bCs/>
          <w:color w:val="000000"/>
          <w:szCs w:val="24"/>
        </w:rPr>
        <w:t xml:space="preserve"> (</w:t>
      </w:r>
      <w:r w:rsidR="00232142" w:rsidRPr="00232142">
        <w:rPr>
          <w:rFonts w:cs="Times New Roman"/>
          <w:szCs w:val="24"/>
          <w:lang w:val="it-IT"/>
        </w:rPr>
        <w:t xml:space="preserve">Beckert and Aspers, </w:t>
      </w:r>
      <w:r w:rsidR="00232142" w:rsidRPr="00232142">
        <w:rPr>
          <w:rFonts w:cs="Times New Roman"/>
          <w:szCs w:val="24"/>
          <w:lang w:val="it-IT"/>
        </w:rPr>
        <w:t>2011)</w:t>
      </w:r>
      <w:r w:rsidR="00AA61E6" w:rsidRPr="00232142">
        <w:rPr>
          <w:bCs/>
          <w:color w:val="000000"/>
          <w:szCs w:val="24"/>
        </w:rPr>
        <w:t xml:space="preserve">  and the sociology of evaluation</w:t>
      </w:r>
      <w:r w:rsidR="00232142" w:rsidRPr="00232142">
        <w:rPr>
          <w:bCs/>
          <w:color w:val="000000"/>
          <w:szCs w:val="24"/>
        </w:rPr>
        <w:t xml:space="preserve"> (</w:t>
      </w:r>
      <w:r w:rsidR="00232142" w:rsidRPr="00232142">
        <w:rPr>
          <w:rFonts w:cs="Times New Roman"/>
          <w:szCs w:val="24"/>
          <w:lang w:val="it-IT"/>
        </w:rPr>
        <w:t>Boltanski</w:t>
      </w:r>
      <w:r w:rsidR="00232142" w:rsidRPr="00232142">
        <w:rPr>
          <w:rFonts w:cs="Times New Roman"/>
          <w:szCs w:val="24"/>
          <w:lang w:val="it-IT"/>
        </w:rPr>
        <w:t xml:space="preserve"> </w:t>
      </w:r>
      <w:r w:rsidR="00232142" w:rsidRPr="00232142">
        <w:rPr>
          <w:rFonts w:cs="Times New Roman"/>
          <w:szCs w:val="24"/>
          <w:lang w:val="it-IT"/>
        </w:rPr>
        <w:t>and Thévenot</w:t>
      </w:r>
      <w:r w:rsidR="00232142" w:rsidRPr="00232142">
        <w:rPr>
          <w:rFonts w:cs="Times New Roman"/>
          <w:szCs w:val="24"/>
          <w:lang w:val="it-IT"/>
        </w:rPr>
        <w:t>, 2006;</w:t>
      </w:r>
      <w:r w:rsidR="00232142" w:rsidRPr="00232142">
        <w:rPr>
          <w:bCs/>
          <w:color w:val="000000"/>
          <w:szCs w:val="24"/>
        </w:rPr>
        <w:t xml:space="preserve"> </w:t>
      </w:r>
      <w:r w:rsidR="00232142" w:rsidRPr="00232142">
        <w:rPr>
          <w:rFonts w:cs="Times New Roman"/>
          <w:szCs w:val="24"/>
          <w:lang w:val="it-IT"/>
        </w:rPr>
        <w:t xml:space="preserve">Lamont, 2012) </w:t>
      </w:r>
      <w:r w:rsidR="00AA61E6" w:rsidRPr="00232142">
        <w:rPr>
          <w:bCs/>
          <w:color w:val="000000"/>
          <w:szCs w:val="24"/>
        </w:rPr>
        <w:t>with recent developments and applications in ma</w:t>
      </w:r>
      <w:bookmarkStart w:id="2" w:name="_GoBack"/>
      <w:bookmarkEnd w:id="2"/>
      <w:r w:rsidR="00AA61E6" w:rsidRPr="00232142">
        <w:rPr>
          <w:bCs/>
          <w:color w:val="000000"/>
          <w:szCs w:val="24"/>
        </w:rPr>
        <w:t>nagement and accounting studies</w:t>
      </w:r>
      <w:r w:rsidR="00232142" w:rsidRPr="00232142">
        <w:rPr>
          <w:bCs/>
          <w:color w:val="000000"/>
          <w:szCs w:val="24"/>
        </w:rPr>
        <w:t xml:space="preserve"> (</w:t>
      </w:r>
      <w:r w:rsidR="00232142" w:rsidRPr="00232142">
        <w:rPr>
          <w:rFonts w:eastAsia="Times New Roman" w:cs="Times New Roman"/>
          <w:szCs w:val="24"/>
          <w:lang w:val="it-IT" w:eastAsia="it-IT"/>
        </w:rPr>
        <w:t xml:space="preserve">Oldenhof, Postma, </w:t>
      </w:r>
      <w:r w:rsidR="00232142" w:rsidRPr="00232142">
        <w:rPr>
          <w:rFonts w:eastAsia="Times New Roman" w:cs="Times New Roman"/>
          <w:szCs w:val="24"/>
          <w:lang w:val="it-IT" w:eastAsia="it-IT"/>
        </w:rPr>
        <w:t xml:space="preserve">and </w:t>
      </w:r>
      <w:r w:rsidR="00232142" w:rsidRPr="00232142">
        <w:rPr>
          <w:rFonts w:eastAsia="Times New Roman" w:cs="Times New Roman"/>
          <w:szCs w:val="24"/>
          <w:lang w:val="it-IT" w:eastAsia="it-IT"/>
        </w:rPr>
        <w:t>Putters</w:t>
      </w:r>
      <w:r w:rsidR="00232142" w:rsidRPr="00232142">
        <w:rPr>
          <w:rFonts w:eastAsia="Times New Roman" w:cs="Times New Roman"/>
          <w:szCs w:val="24"/>
          <w:lang w:val="it-IT" w:eastAsia="it-IT"/>
        </w:rPr>
        <w:t xml:space="preserve"> 2014; Plante,</w:t>
      </w:r>
      <w:r w:rsidR="00232142" w:rsidRPr="00232142">
        <w:rPr>
          <w:rFonts w:eastAsia="Times New Roman" w:cs="Times New Roman"/>
          <w:szCs w:val="24"/>
          <w:lang w:val="it-IT" w:eastAsia="it-IT"/>
        </w:rPr>
        <w:t xml:space="preserve"> Free</w:t>
      </w:r>
      <w:r w:rsidR="00232142" w:rsidRPr="00232142">
        <w:rPr>
          <w:rFonts w:eastAsia="Times New Roman" w:cs="Times New Roman"/>
          <w:szCs w:val="24"/>
          <w:lang w:val="it-IT" w:eastAsia="it-IT"/>
        </w:rPr>
        <w:t xml:space="preserve"> and Andon 2020; </w:t>
      </w:r>
      <w:r w:rsidR="00232142" w:rsidRPr="00232142">
        <w:rPr>
          <w:rFonts w:eastAsia="Times New Roman" w:cs="Times New Roman"/>
          <w:szCs w:val="24"/>
          <w:lang w:val="it-IT" w:eastAsia="it-IT"/>
        </w:rPr>
        <w:t>Risi</w:t>
      </w:r>
      <w:r w:rsidR="00232142" w:rsidRPr="00232142">
        <w:rPr>
          <w:rFonts w:eastAsia="Times New Roman" w:cs="Times New Roman"/>
          <w:szCs w:val="24"/>
          <w:lang w:val="it-IT" w:eastAsia="it-IT"/>
        </w:rPr>
        <w:t xml:space="preserve"> and Marti </w:t>
      </w:r>
      <w:r w:rsidR="00232142" w:rsidRPr="00232142">
        <w:rPr>
          <w:rFonts w:eastAsia="Times New Roman" w:cs="Times New Roman"/>
          <w:szCs w:val="24"/>
          <w:lang w:val="it-IT" w:eastAsia="it-IT"/>
        </w:rPr>
        <w:t>2022)</w:t>
      </w:r>
      <w:r w:rsidR="00EB65F4" w:rsidRPr="00232142">
        <w:rPr>
          <w:rFonts w:eastAsia="Times New Roman" w:cs="Times New Roman"/>
          <w:szCs w:val="24"/>
          <w:lang w:val="it-IT" w:eastAsia="it-IT"/>
        </w:rPr>
        <w:t xml:space="preserve">. </w:t>
      </w:r>
    </w:p>
    <w:p w14:paraId="384C72E8" w14:textId="77777777" w:rsidR="00E73185" w:rsidRDefault="00AA61E6" w:rsidP="0087619D">
      <w:pPr>
        <w:tabs>
          <w:tab w:val="left" w:pos="6096"/>
        </w:tabs>
        <w:ind w:firstLine="709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The UNCHARTED project started in 2020. By the end of 2022, three work packages will be completed (WP1, 2 and 3), while WP4 and 5 will run throughout 2023. The present post-doc grant focus</w:t>
      </w:r>
      <w:r w:rsidR="00E73185">
        <w:rPr>
          <w:bCs/>
          <w:color w:val="000000"/>
          <w:szCs w:val="24"/>
        </w:rPr>
        <w:t>es</w:t>
      </w:r>
      <w:r>
        <w:rPr>
          <w:bCs/>
          <w:color w:val="000000"/>
          <w:szCs w:val="24"/>
        </w:rPr>
        <w:t xml:space="preserve"> </w:t>
      </w:r>
      <w:r w:rsidR="00E73185">
        <w:rPr>
          <w:bCs/>
          <w:color w:val="000000"/>
          <w:szCs w:val="24"/>
        </w:rPr>
        <w:t xml:space="preserve">on </w:t>
      </w:r>
      <w:r>
        <w:rPr>
          <w:bCs/>
          <w:color w:val="000000"/>
          <w:szCs w:val="24"/>
        </w:rPr>
        <w:t>WP4</w:t>
      </w:r>
      <w:r w:rsidR="00E73185">
        <w:rPr>
          <w:bCs/>
          <w:color w:val="000000"/>
          <w:szCs w:val="24"/>
        </w:rPr>
        <w:t xml:space="preserve">-related activities. </w:t>
      </w:r>
    </w:p>
    <w:p w14:paraId="67E1135B" w14:textId="77777777" w:rsidR="00E73185" w:rsidRPr="00E73185" w:rsidRDefault="00CF7AF7" w:rsidP="0087619D">
      <w:pPr>
        <w:autoSpaceDE w:val="0"/>
        <w:autoSpaceDN w:val="0"/>
        <w:adjustRightInd w:val="0"/>
        <w:ind w:firstLine="567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WP4 aim</w:t>
      </w:r>
      <w:r w:rsidR="00E73185">
        <w:rPr>
          <w:bCs/>
          <w:color w:val="000000"/>
          <w:szCs w:val="24"/>
        </w:rPr>
        <w:t xml:space="preserve">s to </w:t>
      </w:r>
      <w:r w:rsidR="00E73185" w:rsidRPr="00E73185">
        <w:rPr>
          <w:bCs/>
          <w:color w:val="000000"/>
          <w:szCs w:val="24"/>
        </w:rPr>
        <w:t>evaluat</w:t>
      </w:r>
      <w:r w:rsidR="00E73185">
        <w:rPr>
          <w:bCs/>
          <w:color w:val="000000"/>
          <w:szCs w:val="24"/>
        </w:rPr>
        <w:t>e</w:t>
      </w:r>
      <w:r w:rsidR="00E73185" w:rsidRPr="00E73185">
        <w:rPr>
          <w:bCs/>
          <w:color w:val="000000"/>
          <w:szCs w:val="24"/>
        </w:rPr>
        <w:t xml:space="preserve"> cultural</w:t>
      </w:r>
      <w:r w:rsidR="00E73185">
        <w:rPr>
          <w:bCs/>
          <w:color w:val="000000"/>
          <w:szCs w:val="24"/>
        </w:rPr>
        <w:t xml:space="preserve"> </w:t>
      </w:r>
      <w:r w:rsidR="00E73185" w:rsidRPr="00E73185">
        <w:rPr>
          <w:bCs/>
          <w:color w:val="000000"/>
          <w:szCs w:val="24"/>
        </w:rPr>
        <w:t>policy effectiveness and impact at the level of cultural institutions</w:t>
      </w:r>
      <w:r w:rsidR="00E73185">
        <w:rPr>
          <w:bCs/>
          <w:color w:val="000000"/>
          <w:szCs w:val="24"/>
        </w:rPr>
        <w:t xml:space="preserve"> by developing</w:t>
      </w:r>
      <w:r w:rsidR="00E73185" w:rsidRPr="00E73185">
        <w:rPr>
          <w:bCs/>
          <w:color w:val="000000"/>
          <w:szCs w:val="24"/>
        </w:rPr>
        <w:t xml:space="preserve"> comparative case studies</w:t>
      </w:r>
      <w:r w:rsidR="00E73185">
        <w:rPr>
          <w:bCs/>
          <w:color w:val="000000"/>
          <w:szCs w:val="24"/>
        </w:rPr>
        <w:t xml:space="preserve"> on </w:t>
      </w:r>
      <w:r w:rsidR="00E73185" w:rsidRPr="00E73185">
        <w:rPr>
          <w:bCs/>
          <w:color w:val="000000"/>
          <w:szCs w:val="24"/>
        </w:rPr>
        <w:t xml:space="preserve">cultural institutions </w:t>
      </w:r>
      <w:r>
        <w:rPr>
          <w:bCs/>
          <w:color w:val="000000"/>
          <w:szCs w:val="24"/>
        </w:rPr>
        <w:t xml:space="preserve">that </w:t>
      </w:r>
      <w:r w:rsidR="00E73185" w:rsidRPr="00E73185">
        <w:rPr>
          <w:bCs/>
          <w:color w:val="000000"/>
          <w:szCs w:val="24"/>
        </w:rPr>
        <w:t>are</w:t>
      </w:r>
      <w:r w:rsidR="00E74B15">
        <w:rPr>
          <w:bCs/>
          <w:color w:val="000000"/>
          <w:szCs w:val="24"/>
        </w:rPr>
        <w:t xml:space="preserve"> </w:t>
      </w:r>
      <w:r w:rsidR="00E73185" w:rsidRPr="00E73185">
        <w:rPr>
          <w:bCs/>
          <w:color w:val="000000"/>
          <w:szCs w:val="24"/>
        </w:rPr>
        <w:t>representatives of the European diversity of cultural</w:t>
      </w:r>
      <w:r w:rsidR="00E73185">
        <w:rPr>
          <w:bCs/>
          <w:color w:val="000000"/>
          <w:szCs w:val="24"/>
        </w:rPr>
        <w:t xml:space="preserve"> </w:t>
      </w:r>
      <w:r w:rsidR="00E73185" w:rsidRPr="00E73185">
        <w:rPr>
          <w:bCs/>
          <w:color w:val="000000"/>
          <w:szCs w:val="24"/>
        </w:rPr>
        <w:t>regimes</w:t>
      </w:r>
      <w:r w:rsidR="00E73185">
        <w:rPr>
          <w:bCs/>
          <w:color w:val="000000"/>
          <w:szCs w:val="24"/>
        </w:rPr>
        <w:t>.</w:t>
      </w:r>
      <w:r w:rsidR="00E73185" w:rsidRPr="00E73185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S</w:t>
      </w:r>
      <w:r w:rsidR="00E74B15">
        <w:rPr>
          <w:bCs/>
          <w:color w:val="000000"/>
          <w:szCs w:val="24"/>
        </w:rPr>
        <w:t xml:space="preserve">ix case studies will be developed, two of which by the University of Bologna. </w:t>
      </w:r>
      <w:r w:rsidR="00E73185" w:rsidRPr="00E73185">
        <w:rPr>
          <w:bCs/>
          <w:color w:val="000000"/>
          <w:szCs w:val="24"/>
        </w:rPr>
        <w:t>The guiding questions for this analysis will be the following:</w:t>
      </w:r>
    </w:p>
    <w:p w14:paraId="40B08B89" w14:textId="77777777" w:rsidR="00E73185" w:rsidRPr="00E73185" w:rsidRDefault="00E73185" w:rsidP="0087619D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E73185">
        <w:rPr>
          <w:bCs/>
          <w:color w:val="000000"/>
          <w:szCs w:val="24"/>
        </w:rPr>
        <w:t>To what extent and how do institutional configurations and the strategies of action of cultural institutions favour cultural diversity, equality and inclusion?</w:t>
      </w:r>
    </w:p>
    <w:p w14:paraId="4FE5DBD0" w14:textId="77777777" w:rsidR="00E73185" w:rsidRPr="00E73185" w:rsidRDefault="00E73185" w:rsidP="0087619D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E73185">
        <w:rPr>
          <w:bCs/>
          <w:color w:val="000000"/>
          <w:szCs w:val="24"/>
        </w:rPr>
        <w:t>What is the impact of the interplay between different systems of valuation and evaluation in cultural institutions?</w:t>
      </w:r>
    </w:p>
    <w:p w14:paraId="402E9A9F" w14:textId="77777777" w:rsidR="00E73185" w:rsidRDefault="00E73185" w:rsidP="0087619D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</w:p>
    <w:p w14:paraId="56EE9A5B" w14:textId="77777777" w:rsidR="00E73185" w:rsidRPr="00E73185" w:rsidRDefault="00E73185" w:rsidP="0087619D">
      <w:pPr>
        <w:autoSpaceDE w:val="0"/>
        <w:autoSpaceDN w:val="0"/>
        <w:adjustRightInd w:val="0"/>
        <w:ind w:firstLine="567"/>
        <w:jc w:val="both"/>
        <w:rPr>
          <w:bCs/>
          <w:color w:val="000000"/>
          <w:szCs w:val="24"/>
        </w:rPr>
      </w:pPr>
      <w:r w:rsidRPr="00E73185">
        <w:rPr>
          <w:bCs/>
          <w:color w:val="000000"/>
          <w:szCs w:val="24"/>
        </w:rPr>
        <w:t xml:space="preserve">Answering this question will first require </w:t>
      </w:r>
      <w:r w:rsidR="00CF7AF7">
        <w:rPr>
          <w:bCs/>
          <w:color w:val="000000"/>
          <w:szCs w:val="24"/>
        </w:rPr>
        <w:t>understanding</w:t>
      </w:r>
      <w:r w:rsidRPr="00E73185">
        <w:rPr>
          <w:bCs/>
          <w:color w:val="000000"/>
          <w:szCs w:val="24"/>
        </w:rPr>
        <w:t xml:space="preserve"> the outcome of the interplay between di</w:t>
      </w:r>
      <w:r w:rsidR="00CF7AF7">
        <w:rPr>
          <w:bCs/>
          <w:color w:val="000000"/>
          <w:szCs w:val="24"/>
        </w:rPr>
        <w:t>fferen</w:t>
      </w:r>
      <w:r w:rsidRPr="00E73185">
        <w:rPr>
          <w:bCs/>
          <w:color w:val="000000"/>
          <w:szCs w:val="24"/>
        </w:rPr>
        <w:t>t valuation</w:t>
      </w:r>
      <w:r>
        <w:rPr>
          <w:bCs/>
          <w:color w:val="000000"/>
          <w:szCs w:val="24"/>
        </w:rPr>
        <w:t xml:space="preserve"> </w:t>
      </w:r>
      <w:r w:rsidRPr="00E73185">
        <w:rPr>
          <w:bCs/>
          <w:color w:val="000000"/>
          <w:szCs w:val="24"/>
        </w:rPr>
        <w:t>and evaluation systems at the case study level. The outcome is intended here as a trade-off, ranging from solutions</w:t>
      </w:r>
      <w:r>
        <w:rPr>
          <w:bCs/>
          <w:color w:val="000000"/>
          <w:szCs w:val="24"/>
        </w:rPr>
        <w:t xml:space="preserve"> </w:t>
      </w:r>
      <w:r w:rsidRPr="00E73185">
        <w:rPr>
          <w:bCs/>
          <w:color w:val="000000"/>
          <w:szCs w:val="24"/>
        </w:rPr>
        <w:t>that are more inclusive in terms of the values represented to situations where inconsistencies between different ways of</w:t>
      </w:r>
      <w:r>
        <w:rPr>
          <w:bCs/>
          <w:color w:val="000000"/>
          <w:szCs w:val="24"/>
        </w:rPr>
        <w:t xml:space="preserve"> </w:t>
      </w:r>
      <w:r w:rsidRPr="00E73185">
        <w:rPr>
          <w:bCs/>
          <w:color w:val="000000"/>
          <w:szCs w:val="24"/>
        </w:rPr>
        <w:t>attributing values are not overcome, or where gaps of representation take place. Drawing on this understanding of the</w:t>
      </w:r>
      <w:r>
        <w:rPr>
          <w:bCs/>
          <w:color w:val="000000"/>
          <w:szCs w:val="24"/>
        </w:rPr>
        <w:t xml:space="preserve"> </w:t>
      </w:r>
      <w:r w:rsidRPr="00E73185">
        <w:rPr>
          <w:bCs/>
          <w:color w:val="000000"/>
          <w:szCs w:val="24"/>
        </w:rPr>
        <w:t>outcomes, the impact of the trade-offs will be investigated at the following levels for each case study:</w:t>
      </w:r>
    </w:p>
    <w:p w14:paraId="1AA471AC" w14:textId="77777777" w:rsidR="00E73185" w:rsidRPr="00E73185" w:rsidRDefault="00E73185" w:rsidP="0087619D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E73185">
        <w:rPr>
          <w:bCs/>
          <w:color w:val="000000"/>
          <w:szCs w:val="24"/>
        </w:rPr>
        <w:t>Demand side level, looking at pattern</w:t>
      </w:r>
      <w:r w:rsidR="00CF7AF7">
        <w:rPr>
          <w:bCs/>
          <w:color w:val="000000"/>
          <w:szCs w:val="24"/>
        </w:rPr>
        <w:t>s</w:t>
      </w:r>
      <w:r w:rsidRPr="00E73185">
        <w:rPr>
          <w:bCs/>
          <w:color w:val="000000"/>
          <w:szCs w:val="24"/>
        </w:rPr>
        <w:t xml:space="preserve"> of consumption among different segments of the population;</w:t>
      </w:r>
    </w:p>
    <w:p w14:paraId="31A99A71" w14:textId="77777777" w:rsidR="00E73185" w:rsidRPr="00E73185" w:rsidRDefault="00E73185" w:rsidP="0087619D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E73185">
        <w:rPr>
          <w:bCs/>
          <w:color w:val="000000"/>
          <w:szCs w:val="24"/>
        </w:rPr>
        <w:t>Supply side level, looking at the achievement of professional goals;</w:t>
      </w:r>
    </w:p>
    <w:p w14:paraId="5296BB6A" w14:textId="77777777" w:rsidR="001E40A8" w:rsidRPr="00E73185" w:rsidRDefault="00E73185" w:rsidP="0087619D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E73185">
        <w:rPr>
          <w:bCs/>
          <w:color w:val="000000"/>
          <w:szCs w:val="24"/>
        </w:rPr>
        <w:t>Policy level, looking at the extent to which the outcomes are intended or unintended, and whether they legitimise or problematise current cultural policies.</w:t>
      </w:r>
    </w:p>
    <w:p w14:paraId="7BA0AD97" w14:textId="77777777" w:rsidR="00E73185" w:rsidRDefault="00E73185" w:rsidP="0087619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  <w:lang w:val="it-IT"/>
        </w:rPr>
      </w:pPr>
    </w:p>
    <w:p w14:paraId="5E30831F" w14:textId="77777777" w:rsidR="00F74489" w:rsidRPr="00E74B15" w:rsidRDefault="00E73185" w:rsidP="0087619D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4"/>
        </w:rPr>
      </w:pPr>
      <w:r w:rsidRPr="00E74B15">
        <w:rPr>
          <w:bCs/>
          <w:color w:val="000000"/>
          <w:szCs w:val="24"/>
        </w:rPr>
        <w:t>Once the case-by-case analysis is complete, the comparison stage</w:t>
      </w:r>
      <w:r w:rsidR="00E74B15">
        <w:rPr>
          <w:bCs/>
          <w:color w:val="000000"/>
          <w:szCs w:val="24"/>
        </w:rPr>
        <w:t xml:space="preserve"> will start.</w:t>
      </w:r>
      <w:r w:rsidRPr="00E74B15">
        <w:rPr>
          <w:bCs/>
          <w:color w:val="000000"/>
          <w:szCs w:val="24"/>
        </w:rPr>
        <w:t xml:space="preserve"> </w:t>
      </w:r>
      <w:r w:rsidR="00E74B15">
        <w:rPr>
          <w:bCs/>
          <w:color w:val="000000"/>
          <w:szCs w:val="24"/>
        </w:rPr>
        <w:t>E</w:t>
      </w:r>
      <w:r w:rsidRPr="00E74B15">
        <w:rPr>
          <w:bCs/>
          <w:color w:val="000000"/>
          <w:szCs w:val="24"/>
        </w:rPr>
        <w:t>ffort will be put into identifying generalisable ideal</w:t>
      </w:r>
      <w:r w:rsidR="00CF7AF7">
        <w:rPr>
          <w:bCs/>
          <w:color w:val="000000"/>
          <w:szCs w:val="24"/>
        </w:rPr>
        <w:t xml:space="preserve"> </w:t>
      </w:r>
      <w:r w:rsidRPr="00E74B15">
        <w:rPr>
          <w:bCs/>
          <w:color w:val="000000"/>
          <w:szCs w:val="24"/>
        </w:rPr>
        <w:t>types in terms of configurations of outcomes and impact.</w:t>
      </w:r>
    </w:p>
    <w:p w14:paraId="0623337A" w14:textId="77777777" w:rsidR="00E73185" w:rsidRPr="00E73185" w:rsidRDefault="00E73185" w:rsidP="0087619D">
      <w:pPr>
        <w:pStyle w:val="Paragrafoelenco"/>
        <w:tabs>
          <w:tab w:val="left" w:pos="6096"/>
        </w:tabs>
        <w:ind w:left="927"/>
        <w:jc w:val="both"/>
        <w:rPr>
          <w:b/>
          <w:bCs/>
          <w:color w:val="000000"/>
          <w:szCs w:val="24"/>
        </w:rPr>
      </w:pPr>
    </w:p>
    <w:p w14:paraId="0F7A826D" w14:textId="77777777" w:rsidR="00C919B2" w:rsidRPr="00136156" w:rsidRDefault="00C919B2" w:rsidP="0087619D">
      <w:pPr>
        <w:pStyle w:val="Paragrafoelenco"/>
        <w:numPr>
          <w:ilvl w:val="0"/>
          <w:numId w:val="1"/>
        </w:numPr>
        <w:tabs>
          <w:tab w:val="left" w:pos="6096"/>
        </w:tabs>
        <w:jc w:val="both"/>
        <w:rPr>
          <w:b/>
          <w:bCs/>
          <w:color w:val="000000"/>
          <w:szCs w:val="24"/>
        </w:rPr>
      </w:pPr>
      <w:r>
        <w:rPr>
          <w:b/>
          <w:color w:val="000000"/>
          <w:szCs w:val="24"/>
        </w:rPr>
        <w:t xml:space="preserve">Research </w:t>
      </w:r>
      <w:r w:rsidR="00215339">
        <w:rPr>
          <w:b/>
          <w:color w:val="000000"/>
          <w:szCs w:val="24"/>
        </w:rPr>
        <w:t>plan</w:t>
      </w:r>
    </w:p>
    <w:p w14:paraId="69EA3E6D" w14:textId="77777777" w:rsidR="005E4BFD" w:rsidRDefault="005E4BFD" w:rsidP="0087619D">
      <w:pPr>
        <w:tabs>
          <w:tab w:val="left" w:pos="6096"/>
        </w:tabs>
        <w:jc w:val="both"/>
        <w:rPr>
          <w:bCs/>
          <w:color w:val="000000"/>
          <w:szCs w:val="24"/>
        </w:rPr>
      </w:pPr>
    </w:p>
    <w:p w14:paraId="5A69C997" w14:textId="77777777" w:rsidR="00E74B15" w:rsidRDefault="00A16AA6" w:rsidP="0087619D">
      <w:pPr>
        <w:tabs>
          <w:tab w:val="left" w:pos="6096"/>
        </w:tabs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During the first year of the post-doc grant, the successful candidate will join </w:t>
      </w:r>
      <w:r w:rsidR="00E74B15">
        <w:rPr>
          <w:bCs/>
          <w:color w:val="000000"/>
          <w:szCs w:val="24"/>
        </w:rPr>
        <w:t xml:space="preserve">the UNIBO research group working on the UNCHARTED project </w:t>
      </w:r>
      <w:r w:rsidR="00FB2936">
        <w:rPr>
          <w:bCs/>
          <w:color w:val="000000"/>
          <w:szCs w:val="24"/>
        </w:rPr>
        <w:t xml:space="preserve">and carry out WP4-related activities, including: selecting the case studies, collecting and analysing data, drafting the deliverables, interacting with the </w:t>
      </w:r>
      <w:r w:rsidR="00FB2936">
        <w:rPr>
          <w:bCs/>
          <w:color w:val="000000"/>
          <w:szCs w:val="24"/>
        </w:rPr>
        <w:lastRenderedPageBreak/>
        <w:t>project partners to develop a common framework, joining on-line and in presence coordination meetings. The first year of the post doc grant will roughly coincide with the last year of the UNCHARTED project.</w:t>
      </w:r>
    </w:p>
    <w:p w14:paraId="27679893" w14:textId="77777777" w:rsidR="00912473" w:rsidRPr="0017488A" w:rsidRDefault="005E4BFD" w:rsidP="0087619D">
      <w:pPr>
        <w:tabs>
          <w:tab w:val="left" w:pos="6096"/>
        </w:tabs>
        <w:ind w:firstLine="567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During the second year of the post-doc grant</w:t>
      </w:r>
      <w:r w:rsidR="0017488A">
        <w:rPr>
          <w:bCs/>
          <w:color w:val="000000"/>
          <w:szCs w:val="24"/>
        </w:rPr>
        <w:t>,</w:t>
      </w:r>
      <w:r>
        <w:rPr>
          <w:bCs/>
          <w:color w:val="000000"/>
          <w:szCs w:val="24"/>
        </w:rPr>
        <w:t xml:space="preserve"> the successful candidate will critically reflect on the </w:t>
      </w:r>
      <w:r w:rsidR="00CF7AF7">
        <w:rPr>
          <w:bCs/>
          <w:color w:val="000000"/>
          <w:szCs w:val="24"/>
        </w:rPr>
        <w:t>first year's research process and main findings</w:t>
      </w:r>
      <w:r w:rsidR="00B4136C">
        <w:rPr>
          <w:bCs/>
          <w:color w:val="000000"/>
          <w:szCs w:val="24"/>
        </w:rPr>
        <w:t xml:space="preserve">. </w:t>
      </w:r>
      <w:r w:rsidR="0017488A">
        <w:rPr>
          <w:bCs/>
          <w:color w:val="000000"/>
          <w:szCs w:val="24"/>
        </w:rPr>
        <w:t>S</w:t>
      </w:r>
      <w:r w:rsidR="00B4136C">
        <w:rPr>
          <w:bCs/>
          <w:color w:val="000000"/>
          <w:szCs w:val="24"/>
        </w:rPr>
        <w:t>econd year</w:t>
      </w:r>
      <w:r w:rsidR="00CF7AF7">
        <w:rPr>
          <w:bCs/>
          <w:color w:val="000000"/>
          <w:szCs w:val="24"/>
        </w:rPr>
        <w:t xml:space="preserve"> </w:t>
      </w:r>
      <w:r w:rsidR="0017488A">
        <w:rPr>
          <w:bCs/>
          <w:color w:val="000000"/>
          <w:szCs w:val="24"/>
        </w:rPr>
        <w:t>activities</w:t>
      </w:r>
      <w:r w:rsidR="00B4136C">
        <w:rPr>
          <w:bCs/>
          <w:color w:val="000000"/>
          <w:szCs w:val="24"/>
        </w:rPr>
        <w:t xml:space="preserve"> </w:t>
      </w:r>
      <w:r w:rsidR="00D70A8A">
        <w:rPr>
          <w:bCs/>
          <w:color w:val="000000"/>
          <w:szCs w:val="24"/>
        </w:rPr>
        <w:t>will</w:t>
      </w:r>
      <w:r w:rsidR="00B4136C">
        <w:rPr>
          <w:bCs/>
          <w:color w:val="000000"/>
          <w:szCs w:val="24"/>
        </w:rPr>
        <w:t xml:space="preserve"> </w:t>
      </w:r>
      <w:r w:rsidR="0017488A">
        <w:rPr>
          <w:bCs/>
          <w:color w:val="000000"/>
          <w:szCs w:val="24"/>
        </w:rPr>
        <w:t>include</w:t>
      </w:r>
      <w:r w:rsidR="00D70A8A">
        <w:rPr>
          <w:bCs/>
          <w:color w:val="000000"/>
          <w:szCs w:val="24"/>
        </w:rPr>
        <w:t>,</w:t>
      </w:r>
      <w:r w:rsidR="00B4136C">
        <w:rPr>
          <w:bCs/>
          <w:color w:val="000000"/>
          <w:szCs w:val="24"/>
        </w:rPr>
        <w:t xml:space="preserve"> but are not limited to, developing the framework further, applying it to other fields and/or investigating its theoretical implications</w:t>
      </w:r>
      <w:r w:rsidR="0017488A">
        <w:rPr>
          <w:bCs/>
          <w:color w:val="000000"/>
          <w:szCs w:val="24"/>
        </w:rPr>
        <w:t>, linking it to the broader academic debate on valuation and evaluation practices</w:t>
      </w:r>
      <w:r w:rsidR="00B4136C">
        <w:rPr>
          <w:bCs/>
          <w:color w:val="000000"/>
          <w:szCs w:val="24"/>
        </w:rPr>
        <w:t>.</w:t>
      </w:r>
    </w:p>
    <w:p w14:paraId="7826BFA2" w14:textId="77777777" w:rsidR="00232142" w:rsidRDefault="00232142" w:rsidP="0087619D">
      <w:pPr>
        <w:ind w:firstLine="709"/>
        <w:jc w:val="both"/>
        <w:rPr>
          <w:bCs/>
          <w:color w:val="000000"/>
          <w:szCs w:val="24"/>
        </w:rPr>
      </w:pPr>
    </w:p>
    <w:p w14:paraId="1ACECCE7" w14:textId="7B014ECA" w:rsidR="00232142" w:rsidRPr="00232142" w:rsidRDefault="00232142" w:rsidP="0087619D">
      <w:pPr>
        <w:ind w:firstLine="567"/>
        <w:jc w:val="both"/>
        <w:rPr>
          <w:b/>
          <w:bCs/>
          <w:color w:val="000000"/>
          <w:szCs w:val="24"/>
        </w:rPr>
      </w:pPr>
      <w:r w:rsidRPr="00232142">
        <w:rPr>
          <w:b/>
          <w:bCs/>
          <w:color w:val="000000"/>
          <w:szCs w:val="24"/>
        </w:rPr>
        <w:t>3. Candidate profile</w:t>
      </w:r>
    </w:p>
    <w:p w14:paraId="254A0A9B" w14:textId="77777777" w:rsidR="00232142" w:rsidRDefault="00232142" w:rsidP="0087619D">
      <w:pPr>
        <w:jc w:val="both"/>
        <w:rPr>
          <w:bCs/>
          <w:color w:val="000000"/>
          <w:szCs w:val="24"/>
        </w:rPr>
      </w:pPr>
    </w:p>
    <w:p w14:paraId="4C54F666" w14:textId="1FF8C27D" w:rsidR="00224A6E" w:rsidRDefault="00D57DD2" w:rsidP="0087619D">
      <w:pPr>
        <w:jc w:val="both"/>
        <w:rPr>
          <w:bCs/>
          <w:color w:val="000000"/>
          <w:szCs w:val="24"/>
        </w:rPr>
      </w:pPr>
      <w:r w:rsidRPr="00D57DD2">
        <w:rPr>
          <w:bCs/>
          <w:color w:val="000000"/>
          <w:szCs w:val="24"/>
        </w:rPr>
        <w:t>The researcher</w:t>
      </w:r>
      <w:r w:rsidR="00F74489">
        <w:rPr>
          <w:bCs/>
          <w:color w:val="000000"/>
          <w:szCs w:val="24"/>
        </w:rPr>
        <w:t xml:space="preserve"> is expected to</w:t>
      </w:r>
      <w:r w:rsidR="00F74489" w:rsidRPr="00D57DD2">
        <w:rPr>
          <w:bCs/>
          <w:color w:val="000000"/>
          <w:szCs w:val="24"/>
        </w:rPr>
        <w:t xml:space="preserve"> have competencies in management </w:t>
      </w:r>
      <w:r w:rsidR="00F74489">
        <w:rPr>
          <w:bCs/>
          <w:color w:val="000000"/>
          <w:szCs w:val="24"/>
        </w:rPr>
        <w:t xml:space="preserve">and/or accounting </w:t>
      </w:r>
      <w:r w:rsidR="00F74489" w:rsidRPr="00D57DD2">
        <w:rPr>
          <w:bCs/>
          <w:color w:val="000000"/>
          <w:szCs w:val="24"/>
        </w:rPr>
        <w:t>research</w:t>
      </w:r>
      <w:r w:rsidR="00A16AA6">
        <w:rPr>
          <w:bCs/>
          <w:color w:val="000000"/>
          <w:szCs w:val="24"/>
        </w:rPr>
        <w:t xml:space="preserve">, </w:t>
      </w:r>
      <w:r w:rsidR="00CF7AF7">
        <w:rPr>
          <w:bCs/>
          <w:color w:val="000000"/>
          <w:szCs w:val="24"/>
        </w:rPr>
        <w:t>have a substantive interest in heritage management as a field of study</w:t>
      </w:r>
      <w:r w:rsidR="00A16AA6">
        <w:rPr>
          <w:bCs/>
          <w:color w:val="000000"/>
          <w:szCs w:val="24"/>
        </w:rPr>
        <w:t>,</w:t>
      </w:r>
      <w:r w:rsidR="00F74489">
        <w:rPr>
          <w:bCs/>
          <w:color w:val="000000"/>
          <w:szCs w:val="24"/>
        </w:rPr>
        <w:t xml:space="preserve"> and </w:t>
      </w:r>
      <w:r w:rsidR="00D70A8A">
        <w:rPr>
          <w:bCs/>
          <w:color w:val="000000"/>
          <w:szCs w:val="24"/>
        </w:rPr>
        <w:t xml:space="preserve">be familiar with </w:t>
      </w:r>
      <w:r w:rsidR="00F74489" w:rsidRPr="00D57DD2">
        <w:rPr>
          <w:bCs/>
          <w:color w:val="000000"/>
          <w:szCs w:val="24"/>
        </w:rPr>
        <w:t>qualitative</w:t>
      </w:r>
      <w:r w:rsidR="00224A6E">
        <w:rPr>
          <w:bCs/>
          <w:color w:val="000000"/>
          <w:szCs w:val="24"/>
        </w:rPr>
        <w:t xml:space="preserve"> </w:t>
      </w:r>
      <w:r w:rsidR="00F74489" w:rsidRPr="00D57DD2">
        <w:rPr>
          <w:bCs/>
          <w:color w:val="000000"/>
          <w:szCs w:val="24"/>
        </w:rPr>
        <w:t>research methodologies.</w:t>
      </w:r>
      <w:r w:rsidR="00F74489">
        <w:rPr>
          <w:bCs/>
          <w:color w:val="000000"/>
          <w:szCs w:val="24"/>
        </w:rPr>
        <w:t xml:space="preserve"> </w:t>
      </w:r>
      <w:r w:rsidR="00A16AA6">
        <w:rPr>
          <w:bCs/>
          <w:color w:val="000000"/>
          <w:szCs w:val="24"/>
        </w:rPr>
        <w:t xml:space="preserve">The candidate </w:t>
      </w:r>
      <w:r w:rsidRPr="00D57DD2">
        <w:rPr>
          <w:bCs/>
          <w:color w:val="000000"/>
          <w:szCs w:val="24"/>
        </w:rPr>
        <w:t>should be fluent in Italian and English.</w:t>
      </w:r>
    </w:p>
    <w:p w14:paraId="727D8D54" w14:textId="77777777" w:rsidR="00023CC7" w:rsidRDefault="00023CC7" w:rsidP="0087619D">
      <w:pPr>
        <w:ind w:firstLine="709"/>
        <w:jc w:val="both"/>
        <w:rPr>
          <w:bCs/>
          <w:color w:val="000000"/>
          <w:szCs w:val="24"/>
        </w:rPr>
      </w:pPr>
      <w:r w:rsidRPr="00023CC7">
        <w:rPr>
          <w:bCs/>
          <w:color w:val="000000"/>
          <w:szCs w:val="24"/>
        </w:rPr>
        <w:t>The researcher is expected to contribute to the research project through a research activity aimed at producing international publications. He/she is expected to develop and propose new research ideas that are not indicated in this document</w:t>
      </w:r>
      <w:r w:rsidR="00CF7AF7">
        <w:rPr>
          <w:bCs/>
          <w:color w:val="000000"/>
          <w:szCs w:val="24"/>
        </w:rPr>
        <w:t>,</w:t>
      </w:r>
      <w:r w:rsidRPr="00023CC7">
        <w:rPr>
          <w:bCs/>
          <w:color w:val="000000"/>
          <w:szCs w:val="24"/>
        </w:rPr>
        <w:t xml:space="preserve"> but that may become relevant during the research process. </w:t>
      </w:r>
    </w:p>
    <w:p w14:paraId="55A3CD65" w14:textId="0D9AC878" w:rsidR="00194CB8" w:rsidRDefault="00194CB8" w:rsidP="0087619D">
      <w:pPr>
        <w:jc w:val="both"/>
        <w:rPr>
          <w:bCs/>
          <w:color w:val="000000"/>
          <w:szCs w:val="24"/>
        </w:rPr>
      </w:pPr>
    </w:p>
    <w:p w14:paraId="06096469" w14:textId="31C452CB" w:rsidR="0087619D" w:rsidRPr="0087619D" w:rsidRDefault="0087619D" w:rsidP="0087619D">
      <w:pPr>
        <w:ind w:firstLine="708"/>
        <w:jc w:val="both"/>
        <w:rPr>
          <w:b/>
          <w:bCs/>
          <w:color w:val="000000"/>
          <w:szCs w:val="24"/>
        </w:rPr>
      </w:pPr>
      <w:r w:rsidRPr="0087619D">
        <w:rPr>
          <w:b/>
          <w:bCs/>
          <w:color w:val="000000"/>
          <w:szCs w:val="24"/>
        </w:rPr>
        <w:t>4. Contacts</w:t>
      </w:r>
    </w:p>
    <w:p w14:paraId="6505CE25" w14:textId="493781A0" w:rsidR="0087619D" w:rsidRDefault="0087619D" w:rsidP="0087619D">
      <w:pPr>
        <w:jc w:val="both"/>
        <w:rPr>
          <w:bCs/>
          <w:color w:val="000000"/>
          <w:szCs w:val="24"/>
        </w:rPr>
      </w:pPr>
    </w:p>
    <w:p w14:paraId="7174ACFD" w14:textId="294DC0BC" w:rsidR="0087619D" w:rsidRDefault="0087619D" w:rsidP="0087619D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Contact Paolo Ferri, </w:t>
      </w:r>
      <w:hyperlink r:id="rId9" w:history="1">
        <w:r w:rsidRPr="005B1A5B">
          <w:rPr>
            <w:rStyle w:val="Collegamentoipertestuale"/>
            <w:bCs/>
            <w:szCs w:val="24"/>
          </w:rPr>
          <w:t>p.ferri@unibo.it</w:t>
        </w:r>
      </w:hyperlink>
      <w:r>
        <w:rPr>
          <w:bCs/>
          <w:color w:val="000000"/>
          <w:szCs w:val="24"/>
        </w:rPr>
        <w:t>, f</w:t>
      </w:r>
      <w:r>
        <w:rPr>
          <w:bCs/>
          <w:color w:val="000000"/>
          <w:szCs w:val="24"/>
        </w:rPr>
        <w:t>or additiona</w:t>
      </w:r>
      <w:r>
        <w:rPr>
          <w:bCs/>
          <w:color w:val="000000"/>
          <w:szCs w:val="24"/>
        </w:rPr>
        <w:t>l information.</w:t>
      </w:r>
    </w:p>
    <w:p w14:paraId="4415FFAB" w14:textId="77777777" w:rsidR="0087619D" w:rsidRDefault="0087619D" w:rsidP="0087619D">
      <w:pPr>
        <w:jc w:val="both"/>
        <w:rPr>
          <w:bCs/>
          <w:color w:val="000000"/>
          <w:szCs w:val="24"/>
        </w:rPr>
      </w:pPr>
    </w:p>
    <w:p w14:paraId="459B8915" w14:textId="1719E113" w:rsidR="00795B30" w:rsidRDefault="0087619D" w:rsidP="0087619D">
      <w:pPr>
        <w:ind w:firstLine="708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5</w:t>
      </w:r>
      <w:r w:rsidR="00232142">
        <w:rPr>
          <w:b/>
          <w:bCs/>
          <w:color w:val="000000"/>
          <w:szCs w:val="24"/>
        </w:rPr>
        <w:t xml:space="preserve">. </w:t>
      </w:r>
      <w:r w:rsidR="00232142" w:rsidRPr="00232142">
        <w:rPr>
          <w:b/>
          <w:bCs/>
          <w:color w:val="000000"/>
          <w:szCs w:val="24"/>
        </w:rPr>
        <w:t>References</w:t>
      </w:r>
    </w:p>
    <w:p w14:paraId="30219E2E" w14:textId="77777777" w:rsidR="00232142" w:rsidRPr="00232142" w:rsidRDefault="00232142" w:rsidP="0087619D">
      <w:pPr>
        <w:ind w:firstLine="708"/>
        <w:jc w:val="both"/>
        <w:rPr>
          <w:b/>
          <w:bCs/>
          <w:color w:val="000000"/>
          <w:szCs w:val="24"/>
        </w:rPr>
      </w:pPr>
    </w:p>
    <w:p w14:paraId="6EF167EF" w14:textId="7A5FD5FA" w:rsidR="00232142" w:rsidRPr="00232142" w:rsidRDefault="00232142" w:rsidP="0087619D">
      <w:pPr>
        <w:ind w:left="709" w:hanging="709"/>
        <w:jc w:val="both"/>
        <w:rPr>
          <w:rFonts w:cs="Times New Roman"/>
          <w:szCs w:val="20"/>
          <w:lang w:val="it-IT"/>
        </w:rPr>
      </w:pPr>
      <w:r w:rsidRPr="00232142">
        <w:rPr>
          <w:rFonts w:cs="Times New Roman"/>
          <w:szCs w:val="20"/>
          <w:lang w:val="it-IT"/>
        </w:rPr>
        <w:t xml:space="preserve">Beckert, J. and Aspers P. (eds) (2011). </w:t>
      </w:r>
      <w:r w:rsidRPr="00232142">
        <w:rPr>
          <w:rFonts w:cs="Times New Roman"/>
          <w:i/>
          <w:iCs/>
          <w:szCs w:val="20"/>
          <w:lang w:val="it-IT"/>
        </w:rPr>
        <w:t>The Worth of Goods: Valuation and Pricing in the Economy</w:t>
      </w:r>
      <w:r w:rsidRPr="00232142">
        <w:rPr>
          <w:rFonts w:cs="Times New Roman"/>
          <w:szCs w:val="20"/>
          <w:lang w:val="it-IT"/>
        </w:rPr>
        <w:t>. New York: Oxford University Press.</w:t>
      </w:r>
    </w:p>
    <w:p w14:paraId="3E2D2001" w14:textId="1983364C" w:rsidR="00232142" w:rsidRPr="00232142" w:rsidRDefault="00232142" w:rsidP="0087619D">
      <w:pPr>
        <w:ind w:left="709" w:hanging="709"/>
        <w:jc w:val="both"/>
        <w:rPr>
          <w:rFonts w:cs="Times New Roman"/>
          <w:szCs w:val="20"/>
          <w:lang w:val="it-IT"/>
        </w:rPr>
      </w:pPr>
      <w:r w:rsidRPr="00232142">
        <w:rPr>
          <w:rFonts w:cs="Times New Roman"/>
          <w:szCs w:val="20"/>
          <w:lang w:val="it-IT"/>
        </w:rPr>
        <w:t xml:space="preserve">Boltanski, L. and Thévenot, L. (2006). </w:t>
      </w:r>
      <w:r w:rsidRPr="00232142">
        <w:rPr>
          <w:rFonts w:cs="Times New Roman"/>
          <w:i/>
          <w:iCs/>
          <w:szCs w:val="20"/>
          <w:lang w:val="it-IT"/>
        </w:rPr>
        <w:t>On Justification. Economies of Worth</w:t>
      </w:r>
      <w:r w:rsidRPr="00232142">
        <w:rPr>
          <w:rFonts w:cs="Times New Roman"/>
          <w:szCs w:val="20"/>
          <w:lang w:val="it-IT"/>
        </w:rPr>
        <w:t>. Princeton/ Oxford: Princeton University Press.</w:t>
      </w:r>
    </w:p>
    <w:p w14:paraId="64319AA8" w14:textId="77777777" w:rsidR="00232142" w:rsidRPr="00232142" w:rsidRDefault="00232142" w:rsidP="0087619D">
      <w:pPr>
        <w:ind w:left="709" w:hanging="709"/>
        <w:jc w:val="both"/>
        <w:rPr>
          <w:rFonts w:cs="Times New Roman"/>
          <w:i/>
          <w:iCs/>
          <w:szCs w:val="20"/>
          <w:lang w:val="it-IT"/>
        </w:rPr>
      </w:pPr>
      <w:r w:rsidRPr="00232142">
        <w:rPr>
          <w:rFonts w:cs="Times New Roman"/>
          <w:szCs w:val="20"/>
          <w:lang w:val="it-IT"/>
        </w:rPr>
        <w:t xml:space="preserve">Lamont, M. (2012). ‘Toward a Comparative Sociology of Valuation and Evaluation’. </w:t>
      </w:r>
      <w:r w:rsidRPr="00232142">
        <w:rPr>
          <w:rFonts w:cs="Times New Roman"/>
          <w:i/>
          <w:iCs/>
          <w:szCs w:val="20"/>
          <w:lang w:val="it-IT"/>
        </w:rPr>
        <w:t>Annual Review of Sociology</w:t>
      </w:r>
      <w:r w:rsidRPr="00232142">
        <w:rPr>
          <w:rFonts w:cs="Times New Roman"/>
          <w:szCs w:val="20"/>
          <w:lang w:val="it-IT"/>
        </w:rPr>
        <w:t xml:space="preserve">, </w:t>
      </w:r>
      <w:r w:rsidRPr="00232142">
        <w:rPr>
          <w:rFonts w:cs="Times New Roman"/>
          <w:i/>
          <w:iCs/>
          <w:szCs w:val="20"/>
          <w:lang w:val="it-IT"/>
        </w:rPr>
        <w:t>38</w:t>
      </w:r>
      <w:r w:rsidRPr="00232142">
        <w:rPr>
          <w:rFonts w:cs="Times New Roman"/>
          <w:szCs w:val="20"/>
          <w:lang w:val="it-IT"/>
        </w:rPr>
        <w:t>(1): 201–221.</w:t>
      </w:r>
    </w:p>
    <w:p w14:paraId="5E070622" w14:textId="5D612CC2" w:rsidR="00232142" w:rsidRPr="00232142" w:rsidRDefault="00232142" w:rsidP="0087619D">
      <w:pPr>
        <w:ind w:left="709" w:hanging="709"/>
        <w:jc w:val="both"/>
        <w:rPr>
          <w:rFonts w:cs="Times New Roman"/>
          <w:i/>
          <w:iCs/>
          <w:szCs w:val="20"/>
          <w:lang w:val="it-IT"/>
        </w:rPr>
      </w:pPr>
      <w:r w:rsidRPr="00232142">
        <w:rPr>
          <w:rFonts w:eastAsia="Times New Roman" w:cs="Times New Roman"/>
          <w:szCs w:val="20"/>
          <w:lang w:val="it-IT" w:eastAsia="it-IT"/>
        </w:rPr>
        <w:t xml:space="preserve">Oldenhof, L., Postma, J., &amp; Putters, K. (2014). On Justifi cation Work: How Compromising Enables Public Managers to Deal with Conflicting Values. </w:t>
      </w:r>
      <w:r w:rsidRPr="00232142">
        <w:rPr>
          <w:rFonts w:eastAsia="Times New Roman" w:cs="Times New Roman"/>
          <w:i/>
          <w:iCs/>
          <w:szCs w:val="20"/>
          <w:lang w:val="it-IT" w:eastAsia="it-IT"/>
        </w:rPr>
        <w:t>Public Management Review</w:t>
      </w:r>
      <w:r w:rsidRPr="00232142">
        <w:rPr>
          <w:rFonts w:eastAsia="Times New Roman" w:cs="Times New Roman"/>
          <w:szCs w:val="20"/>
          <w:lang w:val="it-IT" w:eastAsia="it-IT"/>
        </w:rPr>
        <w:t xml:space="preserve">, </w:t>
      </w:r>
      <w:r w:rsidRPr="00232142">
        <w:rPr>
          <w:rFonts w:eastAsia="Times New Roman" w:cs="Times New Roman"/>
          <w:i/>
          <w:iCs/>
          <w:szCs w:val="20"/>
          <w:lang w:val="it-IT" w:eastAsia="it-IT"/>
        </w:rPr>
        <w:t>74</w:t>
      </w:r>
      <w:r w:rsidRPr="00232142">
        <w:rPr>
          <w:rFonts w:eastAsia="Times New Roman" w:cs="Times New Roman"/>
          <w:szCs w:val="20"/>
          <w:lang w:val="it-IT" w:eastAsia="it-IT"/>
        </w:rPr>
        <w:t>(1), 52–63.</w:t>
      </w:r>
    </w:p>
    <w:p w14:paraId="4E831DCB" w14:textId="77777777" w:rsidR="00232142" w:rsidRPr="00232142" w:rsidRDefault="00232142" w:rsidP="0087619D">
      <w:pPr>
        <w:ind w:left="709" w:hanging="709"/>
        <w:jc w:val="both"/>
        <w:rPr>
          <w:rFonts w:eastAsia="Times New Roman" w:cs="Times New Roman"/>
          <w:szCs w:val="20"/>
          <w:lang w:val="it-IT" w:eastAsia="it-IT"/>
        </w:rPr>
      </w:pPr>
      <w:r w:rsidRPr="00232142">
        <w:rPr>
          <w:rFonts w:eastAsia="Times New Roman" w:cs="Times New Roman"/>
          <w:szCs w:val="20"/>
          <w:lang w:val="it-IT" w:eastAsia="it-IT"/>
        </w:rPr>
        <w:t xml:space="preserve">Plante, M., Free, C., &amp; Andon, P. (2020). Making artworks valuable: Categorisation and modes of valuation work. </w:t>
      </w:r>
      <w:r w:rsidRPr="00232142">
        <w:rPr>
          <w:rFonts w:eastAsia="Times New Roman" w:cs="Times New Roman"/>
          <w:i/>
          <w:iCs/>
          <w:szCs w:val="20"/>
          <w:lang w:val="it-IT" w:eastAsia="it-IT"/>
        </w:rPr>
        <w:t>Accounting, Organizations and Society</w:t>
      </w:r>
      <w:r w:rsidRPr="00232142">
        <w:rPr>
          <w:rFonts w:eastAsia="Times New Roman" w:cs="Times New Roman"/>
          <w:szCs w:val="20"/>
          <w:lang w:val="it-IT" w:eastAsia="it-IT"/>
        </w:rPr>
        <w:t xml:space="preserve">, </w:t>
      </w:r>
      <w:r w:rsidRPr="00232142">
        <w:rPr>
          <w:rFonts w:eastAsia="Times New Roman" w:cs="Times New Roman"/>
          <w:i/>
          <w:iCs/>
          <w:szCs w:val="20"/>
          <w:lang w:val="it-IT" w:eastAsia="it-IT"/>
        </w:rPr>
        <w:t>xxxx</w:t>
      </w:r>
      <w:r w:rsidRPr="00232142">
        <w:rPr>
          <w:rFonts w:eastAsia="Times New Roman" w:cs="Times New Roman"/>
          <w:szCs w:val="20"/>
          <w:lang w:val="it-IT" w:eastAsia="it-IT"/>
        </w:rPr>
        <w:t>, 101155. https://doi.org/10.1016/j.aos.2020.101155</w:t>
      </w:r>
    </w:p>
    <w:p w14:paraId="171ACD9D" w14:textId="77777777" w:rsidR="00232142" w:rsidRPr="00232142" w:rsidRDefault="00232142" w:rsidP="0087619D">
      <w:pPr>
        <w:ind w:left="709" w:hanging="709"/>
        <w:jc w:val="both"/>
        <w:rPr>
          <w:rFonts w:eastAsia="Times New Roman" w:cs="Times New Roman"/>
          <w:szCs w:val="20"/>
          <w:lang w:val="it-IT" w:eastAsia="it-IT"/>
        </w:rPr>
      </w:pPr>
      <w:r w:rsidRPr="00232142">
        <w:rPr>
          <w:rFonts w:eastAsia="Times New Roman" w:cs="Times New Roman"/>
          <w:szCs w:val="20"/>
          <w:lang w:val="it-IT" w:eastAsia="it-IT"/>
        </w:rPr>
        <w:t xml:space="preserve">Risi, D., &amp; Marti, E. (2022). Illuminating the Dark Side of Values: A Framework for Institutional Research. </w:t>
      </w:r>
      <w:r w:rsidRPr="00232142">
        <w:rPr>
          <w:rFonts w:eastAsia="Times New Roman" w:cs="Times New Roman"/>
          <w:i/>
          <w:iCs/>
          <w:szCs w:val="20"/>
          <w:lang w:val="it-IT" w:eastAsia="it-IT"/>
        </w:rPr>
        <w:t>Journal of Management Inquiry</w:t>
      </w:r>
      <w:r w:rsidRPr="00232142">
        <w:rPr>
          <w:rFonts w:eastAsia="Times New Roman" w:cs="Times New Roman"/>
          <w:szCs w:val="20"/>
          <w:lang w:val="it-IT" w:eastAsia="it-IT"/>
        </w:rPr>
        <w:t xml:space="preserve">, </w:t>
      </w:r>
      <w:r w:rsidRPr="00232142">
        <w:rPr>
          <w:rFonts w:eastAsia="Times New Roman" w:cs="Times New Roman"/>
          <w:i/>
          <w:iCs/>
          <w:szCs w:val="20"/>
          <w:lang w:val="it-IT" w:eastAsia="it-IT"/>
        </w:rPr>
        <w:t>31</w:t>
      </w:r>
      <w:r w:rsidRPr="00232142">
        <w:rPr>
          <w:rFonts w:eastAsia="Times New Roman" w:cs="Times New Roman"/>
          <w:szCs w:val="20"/>
          <w:lang w:val="it-IT" w:eastAsia="it-IT"/>
        </w:rPr>
        <w:t xml:space="preserve">(3), 253–263. </w:t>
      </w:r>
    </w:p>
    <w:p w14:paraId="5C43F0E9" w14:textId="77777777" w:rsidR="00232142" w:rsidRPr="00194CB8" w:rsidRDefault="00232142" w:rsidP="0087619D">
      <w:pPr>
        <w:jc w:val="both"/>
        <w:rPr>
          <w:bCs/>
          <w:color w:val="000000"/>
          <w:szCs w:val="24"/>
        </w:rPr>
      </w:pPr>
    </w:p>
    <w:sectPr w:rsidR="00232142" w:rsidRPr="00194CB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7AB2B" w14:textId="77777777" w:rsidR="00F46309" w:rsidRDefault="00F46309" w:rsidP="00F50766">
      <w:r>
        <w:separator/>
      </w:r>
    </w:p>
  </w:endnote>
  <w:endnote w:type="continuationSeparator" w:id="0">
    <w:p w14:paraId="0E8A43D6" w14:textId="77777777" w:rsidR="00F46309" w:rsidRDefault="00F46309" w:rsidP="00F5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451488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56CBF8" w14:textId="2A532020" w:rsidR="00F50766" w:rsidRDefault="00F50766" w:rsidP="00F50766">
            <w:pPr>
              <w:pStyle w:val="Pidipagina"/>
              <w:jc w:val="center"/>
            </w:pPr>
            <w:r w:rsidRPr="00F50766">
              <w:rPr>
                <w:bCs/>
                <w:szCs w:val="24"/>
              </w:rPr>
              <w:fldChar w:fldCharType="begin"/>
            </w:r>
            <w:r w:rsidRPr="00F50766">
              <w:rPr>
                <w:bCs/>
              </w:rPr>
              <w:instrText>PAGE</w:instrText>
            </w:r>
            <w:r w:rsidRPr="00F50766">
              <w:rPr>
                <w:bCs/>
                <w:szCs w:val="24"/>
              </w:rPr>
              <w:fldChar w:fldCharType="separate"/>
            </w:r>
            <w:r w:rsidR="00F46309">
              <w:rPr>
                <w:bCs/>
                <w:noProof/>
              </w:rPr>
              <w:t>1</w:t>
            </w:r>
            <w:r w:rsidRPr="00F50766">
              <w:rPr>
                <w:bCs/>
                <w:szCs w:val="24"/>
              </w:rPr>
              <w:fldChar w:fldCharType="end"/>
            </w:r>
            <w:r w:rsidRPr="00F50766">
              <w:rPr>
                <w:lang w:val="it-IT"/>
              </w:rPr>
              <w:t>/</w:t>
            </w:r>
            <w:r w:rsidRPr="00F50766">
              <w:rPr>
                <w:bCs/>
                <w:szCs w:val="24"/>
              </w:rPr>
              <w:fldChar w:fldCharType="begin"/>
            </w:r>
            <w:r w:rsidRPr="00F50766">
              <w:rPr>
                <w:bCs/>
              </w:rPr>
              <w:instrText>NUMPAGES</w:instrText>
            </w:r>
            <w:r w:rsidRPr="00F50766">
              <w:rPr>
                <w:bCs/>
                <w:szCs w:val="24"/>
              </w:rPr>
              <w:fldChar w:fldCharType="separate"/>
            </w:r>
            <w:r w:rsidR="00F46309">
              <w:rPr>
                <w:bCs/>
                <w:noProof/>
              </w:rPr>
              <w:t>1</w:t>
            </w:r>
            <w:r w:rsidRPr="00F50766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32DB9680" w14:textId="77777777" w:rsidR="00F50766" w:rsidRDefault="00F507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74D38" w14:textId="77777777" w:rsidR="00F46309" w:rsidRDefault="00F46309" w:rsidP="00F50766">
      <w:r>
        <w:separator/>
      </w:r>
    </w:p>
  </w:footnote>
  <w:footnote w:type="continuationSeparator" w:id="0">
    <w:p w14:paraId="2537956C" w14:textId="77777777" w:rsidR="00F46309" w:rsidRDefault="00F46309" w:rsidP="00F50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9D1"/>
    <w:multiLevelType w:val="hybridMultilevel"/>
    <w:tmpl w:val="A94E9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0586"/>
    <w:multiLevelType w:val="hybridMultilevel"/>
    <w:tmpl w:val="1E9A6550"/>
    <w:lvl w:ilvl="0" w:tplc="49F80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634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8E5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E9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63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AE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80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45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60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D13E33"/>
    <w:multiLevelType w:val="hybridMultilevel"/>
    <w:tmpl w:val="EC6C6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37C9E"/>
    <w:multiLevelType w:val="hybridMultilevel"/>
    <w:tmpl w:val="1B9CAEC0"/>
    <w:lvl w:ilvl="0" w:tplc="AEB8747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FA6650"/>
    <w:multiLevelType w:val="hybridMultilevel"/>
    <w:tmpl w:val="8F1EE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80DD5"/>
    <w:multiLevelType w:val="hybridMultilevel"/>
    <w:tmpl w:val="62F4808E"/>
    <w:lvl w:ilvl="0" w:tplc="F440C6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2NzM0MTKwNDGwMLFQ0lEKTi0uzszPAykwqwUAzjdm1CwAAAA="/>
  </w:docVars>
  <w:rsids>
    <w:rsidRoot w:val="0081107C"/>
    <w:rsid w:val="00023CC7"/>
    <w:rsid w:val="0010067F"/>
    <w:rsid w:val="001021E0"/>
    <w:rsid w:val="00136156"/>
    <w:rsid w:val="00170C2F"/>
    <w:rsid w:val="0017488A"/>
    <w:rsid w:val="00194CB8"/>
    <w:rsid w:val="001E40A8"/>
    <w:rsid w:val="00215339"/>
    <w:rsid w:val="00224A6E"/>
    <w:rsid w:val="00232142"/>
    <w:rsid w:val="002A609F"/>
    <w:rsid w:val="002F7A8F"/>
    <w:rsid w:val="00332B41"/>
    <w:rsid w:val="003820B9"/>
    <w:rsid w:val="00414388"/>
    <w:rsid w:val="004E315E"/>
    <w:rsid w:val="004E4D25"/>
    <w:rsid w:val="004E6437"/>
    <w:rsid w:val="0057558B"/>
    <w:rsid w:val="005B6472"/>
    <w:rsid w:val="005E2632"/>
    <w:rsid w:val="005E4BFD"/>
    <w:rsid w:val="00662D77"/>
    <w:rsid w:val="00765CAC"/>
    <w:rsid w:val="00791477"/>
    <w:rsid w:val="00795B30"/>
    <w:rsid w:val="007C5667"/>
    <w:rsid w:val="007F0B64"/>
    <w:rsid w:val="0081107C"/>
    <w:rsid w:val="00812A29"/>
    <w:rsid w:val="0081612D"/>
    <w:rsid w:val="0085071D"/>
    <w:rsid w:val="00857A86"/>
    <w:rsid w:val="00874F2F"/>
    <w:rsid w:val="0087619D"/>
    <w:rsid w:val="00887CAF"/>
    <w:rsid w:val="00912473"/>
    <w:rsid w:val="00933466"/>
    <w:rsid w:val="00955D33"/>
    <w:rsid w:val="00971024"/>
    <w:rsid w:val="009812A5"/>
    <w:rsid w:val="00981384"/>
    <w:rsid w:val="009B1ECA"/>
    <w:rsid w:val="009D16AE"/>
    <w:rsid w:val="00A00B4A"/>
    <w:rsid w:val="00A16AA6"/>
    <w:rsid w:val="00AA4051"/>
    <w:rsid w:val="00AA61E6"/>
    <w:rsid w:val="00AA6957"/>
    <w:rsid w:val="00B171DF"/>
    <w:rsid w:val="00B1734C"/>
    <w:rsid w:val="00B25878"/>
    <w:rsid w:val="00B4136C"/>
    <w:rsid w:val="00B42D99"/>
    <w:rsid w:val="00B8211F"/>
    <w:rsid w:val="00BF486B"/>
    <w:rsid w:val="00C919B2"/>
    <w:rsid w:val="00CF7AF7"/>
    <w:rsid w:val="00D12AEA"/>
    <w:rsid w:val="00D14421"/>
    <w:rsid w:val="00D57DD2"/>
    <w:rsid w:val="00D641E9"/>
    <w:rsid w:val="00D70A8A"/>
    <w:rsid w:val="00E06EB2"/>
    <w:rsid w:val="00E73185"/>
    <w:rsid w:val="00E74B15"/>
    <w:rsid w:val="00EA1036"/>
    <w:rsid w:val="00EB65F4"/>
    <w:rsid w:val="00EF6DDF"/>
    <w:rsid w:val="00F04FAB"/>
    <w:rsid w:val="00F41C9E"/>
    <w:rsid w:val="00F46309"/>
    <w:rsid w:val="00F50766"/>
    <w:rsid w:val="00F74489"/>
    <w:rsid w:val="00F77294"/>
    <w:rsid w:val="00F929DD"/>
    <w:rsid w:val="00FB2936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9522"/>
  <w15:docId w15:val="{1B34D8BE-5DB6-4A2F-8D2D-7A1940E0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07C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19B2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23CC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i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023CC7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023CC7"/>
    <w:pPr>
      <w:jc w:val="center"/>
    </w:pPr>
    <w:rPr>
      <w:rFonts w:ascii="Garamond" w:eastAsia="Times New Roman" w:hAnsi="Garamond" w:cs="Times New Roman"/>
      <w:i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023CC7"/>
    <w:rPr>
      <w:rFonts w:ascii="Garamond" w:eastAsia="Times New Roman" w:hAnsi="Garamond" w:cs="Times New Roman"/>
      <w:i/>
      <w:sz w:val="24"/>
      <w:szCs w:val="20"/>
      <w:lang w:eastAsia="it-IT"/>
    </w:rPr>
  </w:style>
  <w:style w:type="paragraph" w:customStyle="1" w:styleId="EndNoteBibliography">
    <w:name w:val="EndNote Bibliography"/>
    <w:basedOn w:val="Normale"/>
    <w:link w:val="EndNoteBibliographyChar"/>
    <w:rsid w:val="00B1734C"/>
    <w:rPr>
      <w:rFonts w:cs="Times New Roman"/>
      <w:noProof/>
      <w:sz w:val="20"/>
      <w:lang w:val="en-US"/>
    </w:rPr>
  </w:style>
  <w:style w:type="character" w:customStyle="1" w:styleId="EndNoteBibliographyChar">
    <w:name w:val="EndNote Bibliography Char"/>
    <w:basedOn w:val="Carpredefinitoparagrafo"/>
    <w:link w:val="EndNoteBibliography"/>
    <w:rsid w:val="00B1734C"/>
    <w:rPr>
      <w:rFonts w:ascii="Times New Roman" w:hAnsi="Times New Roman" w:cs="Times New Roman"/>
      <w:noProof/>
      <w:sz w:val="20"/>
      <w:lang w:val="en-US"/>
    </w:rPr>
  </w:style>
  <w:style w:type="paragraph" w:styleId="NormaleWeb">
    <w:name w:val="Normal (Web)"/>
    <w:basedOn w:val="Normale"/>
    <w:uiPriority w:val="99"/>
    <w:unhideWhenUsed/>
    <w:rsid w:val="00F50766"/>
    <w:pPr>
      <w:spacing w:before="100" w:beforeAutospacing="1" w:after="100" w:afterAutospacing="1"/>
    </w:pPr>
    <w:rPr>
      <w:rFonts w:eastAsia="Times New Roman" w:cs="Times New Roman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50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766"/>
    <w:rPr>
      <w:rFonts w:ascii="Times New Roman" w:hAnsi="Times New Roman"/>
      <w:sz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F50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766"/>
    <w:rPr>
      <w:rFonts w:ascii="Times New Roman" w:hAnsi="Times New Roman"/>
      <w:sz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0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036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194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94CB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4A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4A6E"/>
    <w:rPr>
      <w:rFonts w:ascii="Times New Roman" w:hAnsi="Times New Roman"/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4A6E"/>
    <w:rPr>
      <w:vertAlign w:val="superscript"/>
    </w:rPr>
  </w:style>
  <w:style w:type="character" w:customStyle="1" w:styleId="author">
    <w:name w:val="author"/>
    <w:basedOn w:val="Carpredefinitoparagrafo"/>
    <w:rsid w:val="00224A6E"/>
  </w:style>
  <w:style w:type="character" w:styleId="Enfasicorsivo">
    <w:name w:val="Emphasis"/>
    <w:basedOn w:val="Carpredefinitoparagrafo"/>
    <w:uiPriority w:val="20"/>
    <w:qFormat/>
    <w:rsid w:val="00224A6E"/>
    <w:rPr>
      <w:i/>
      <w:iCs/>
    </w:rPr>
  </w:style>
  <w:style w:type="character" w:customStyle="1" w:styleId="label-openaccess">
    <w:name w:val="label-openaccess"/>
    <w:basedOn w:val="Carpredefinitoparagrafo"/>
    <w:rsid w:val="0022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35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0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.ferri@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457FCB0-8CC0-48B0-BEC9-DCE7E3AB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Ferri</dc:creator>
  <cp:keywords/>
  <dc:description/>
  <cp:lastModifiedBy>Paolo Ferri</cp:lastModifiedBy>
  <cp:revision>3</cp:revision>
  <dcterms:created xsi:type="dcterms:W3CDTF">2022-11-24T13:16:00Z</dcterms:created>
  <dcterms:modified xsi:type="dcterms:W3CDTF">2022-11-24T13:17:00Z</dcterms:modified>
</cp:coreProperties>
</file>